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C2" w:rsidRPr="00637AC2" w:rsidRDefault="00637AC2" w:rsidP="00637AC2">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ЗАТВЕРДЖЕНО</w:t>
      </w:r>
      <w:r w:rsidRPr="00637AC2">
        <w:rPr>
          <w:rFonts w:ascii="Times New Roman" w:eastAsia="Times New Roman" w:hAnsi="Times New Roman" w:cs="Times New Roman"/>
          <w:color w:val="666666"/>
          <w:sz w:val="20"/>
          <w:szCs w:val="20"/>
          <w:lang w:eastAsia="ru-RU"/>
        </w:rPr>
        <w:br/>
      </w:r>
      <w:r w:rsidRPr="00637AC2">
        <w:rPr>
          <w:rFonts w:ascii="Times New Roman" w:eastAsia="Times New Roman" w:hAnsi="Times New Roman" w:cs="Times New Roman"/>
          <w:color w:val="000000"/>
          <w:sz w:val="24"/>
          <w:szCs w:val="24"/>
          <w:lang w:eastAsia="ru-RU"/>
        </w:rPr>
        <w:t>                                                                                                         Наказ Міністерства освіти і науки України</w:t>
      </w:r>
      <w:r w:rsidRPr="00637AC2">
        <w:rPr>
          <w:rFonts w:ascii="Times New Roman" w:eastAsia="Times New Roman" w:hAnsi="Times New Roman" w:cs="Times New Roman"/>
          <w:color w:val="666666"/>
          <w:sz w:val="20"/>
          <w:szCs w:val="20"/>
          <w:lang w:eastAsia="ru-RU"/>
        </w:rPr>
        <w:br/>
      </w:r>
      <w:r w:rsidRPr="00637AC2">
        <w:rPr>
          <w:rFonts w:ascii="Times New Roman" w:eastAsia="Times New Roman" w:hAnsi="Times New Roman" w:cs="Times New Roman"/>
          <w:color w:val="000000"/>
          <w:sz w:val="24"/>
          <w:szCs w:val="24"/>
          <w:lang w:eastAsia="ru-RU"/>
        </w:rPr>
        <w:t>                                                                                                         28 грудня 2019 року N 1646</w:t>
      </w:r>
    </w:p>
    <w:p w:rsidR="00637AC2" w:rsidRDefault="00637AC2" w:rsidP="00637AC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37AC2">
        <w:rPr>
          <w:rFonts w:ascii="Times New Roman" w:eastAsia="Times New Roman" w:hAnsi="Times New Roman" w:cs="Times New Roman"/>
          <w:color w:val="000000"/>
          <w:sz w:val="24"/>
          <w:szCs w:val="24"/>
          <w:lang w:eastAsia="ru-RU"/>
        </w:rPr>
        <w:t>                                                                                                         Зареєстровано</w:t>
      </w:r>
      <w:r w:rsidRPr="00637AC2">
        <w:rPr>
          <w:rFonts w:ascii="Times New Roman" w:eastAsia="Times New Roman" w:hAnsi="Times New Roman" w:cs="Times New Roman"/>
          <w:color w:val="666666"/>
          <w:sz w:val="20"/>
          <w:szCs w:val="20"/>
          <w:lang w:eastAsia="ru-RU"/>
        </w:rPr>
        <w:br/>
      </w:r>
      <w:r w:rsidRPr="00637AC2">
        <w:rPr>
          <w:rFonts w:ascii="Times New Roman" w:eastAsia="Times New Roman" w:hAnsi="Times New Roman" w:cs="Times New Roman"/>
          <w:color w:val="000000"/>
          <w:sz w:val="24"/>
          <w:szCs w:val="24"/>
          <w:lang w:eastAsia="ru-RU"/>
        </w:rPr>
        <w:t>                                                                                                         в Міністерстві юстиції України</w:t>
      </w:r>
      <w:r w:rsidRPr="00637AC2">
        <w:rPr>
          <w:rFonts w:ascii="Times New Roman" w:eastAsia="Times New Roman" w:hAnsi="Times New Roman" w:cs="Times New Roman"/>
          <w:color w:val="666666"/>
          <w:sz w:val="20"/>
          <w:szCs w:val="20"/>
          <w:lang w:eastAsia="ru-RU"/>
        </w:rPr>
        <w:br/>
      </w:r>
      <w:r w:rsidRPr="00637AC2">
        <w:rPr>
          <w:rFonts w:ascii="Times New Roman" w:eastAsia="Times New Roman" w:hAnsi="Times New Roman" w:cs="Times New Roman"/>
          <w:color w:val="000000"/>
          <w:sz w:val="24"/>
          <w:szCs w:val="24"/>
          <w:lang w:eastAsia="ru-RU"/>
        </w:rPr>
        <w:t>                                                                                                         03 лютого 2020 р. за N 111/34394</w:t>
      </w:r>
    </w:p>
    <w:p w:rsidR="00637AC2" w:rsidRPr="00637AC2" w:rsidRDefault="00637AC2" w:rsidP="00637AC2">
      <w:pPr>
        <w:shd w:val="clear" w:color="auto" w:fill="FFFFFF"/>
        <w:spacing w:after="0" w:line="240" w:lineRule="auto"/>
        <w:jc w:val="right"/>
        <w:rPr>
          <w:rFonts w:ascii="Times New Roman" w:eastAsia="Times New Roman" w:hAnsi="Times New Roman" w:cs="Times New Roman"/>
          <w:color w:val="000000"/>
          <w:sz w:val="21"/>
          <w:szCs w:val="21"/>
          <w:lang w:val="ro-RO" w:eastAsia="ru-RU"/>
        </w:rPr>
      </w:pPr>
      <w:bookmarkStart w:id="0" w:name="_GoBack"/>
      <w:bookmarkEnd w:id="0"/>
    </w:p>
    <w:p w:rsidR="00637AC2" w:rsidRPr="00637AC2" w:rsidRDefault="00637AC2" w:rsidP="00637AC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u w:val="single"/>
          <w:lang w:eastAsia="ru-RU"/>
        </w:rPr>
        <w:t>Порядок реагування на випадки булінгу (цькування)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 І.</w:t>
      </w:r>
      <w:r w:rsidRPr="00637AC2">
        <w:rPr>
          <w:rFonts w:ascii="Times New Roman" w:eastAsia="Times New Roman" w:hAnsi="Times New Roman" w:cs="Times New Roman"/>
          <w:b/>
          <w:bCs/>
          <w:i/>
          <w:iCs/>
          <w:color w:val="000000"/>
          <w:sz w:val="24"/>
          <w:szCs w:val="24"/>
          <w:lang w:eastAsia="ru-RU"/>
        </w:rPr>
        <w:t>Загальні положення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 1. Цей Порядок визначає механізм реагування на випадки булінгу</w:t>
      </w:r>
      <w:r w:rsidRPr="00637AC2">
        <w:rPr>
          <w:rFonts w:ascii="Times New Roman" w:eastAsia="Times New Roman" w:hAnsi="Times New Roman" w:cs="Times New Roman"/>
          <w:color w:val="000000"/>
          <w:sz w:val="24"/>
          <w:szCs w:val="24"/>
          <w:lang w:eastAsia="ru-RU"/>
        </w:rPr>
        <w:t>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2. </w:t>
      </w:r>
      <w:r w:rsidRPr="00637AC2">
        <w:rPr>
          <w:rFonts w:ascii="Times New Roman" w:eastAsia="Times New Roman" w:hAnsi="Times New Roman" w:cs="Times New Roman"/>
          <w:b/>
          <w:bCs/>
          <w:i/>
          <w:iCs/>
          <w:color w:val="000000"/>
          <w:sz w:val="24"/>
          <w:szCs w:val="24"/>
          <w:lang w:eastAsia="ru-RU"/>
        </w:rPr>
        <w:t>Терміни, використані у цьому Порядку, вживаються у таких значеннях:</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кривдник (булер)</w:t>
      </w:r>
      <w:r w:rsidRPr="00637AC2">
        <w:rPr>
          <w:rFonts w:ascii="Times New Roman" w:eastAsia="Times New Roman" w:hAnsi="Times New Roman" w:cs="Times New Roman"/>
          <w:color w:val="000000"/>
          <w:sz w:val="24"/>
          <w:szCs w:val="24"/>
          <w:lang w:eastAsia="ru-RU"/>
        </w:rPr>
        <w:t>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потерпілий (жертва булінгу)</w:t>
      </w:r>
      <w:r w:rsidRPr="00637AC2">
        <w:rPr>
          <w:rFonts w:ascii="Times New Roman" w:eastAsia="Times New Roman" w:hAnsi="Times New Roman" w:cs="Times New Roman"/>
          <w:color w:val="000000"/>
          <w:sz w:val="24"/>
          <w:szCs w:val="24"/>
          <w:lang w:eastAsia="ru-RU"/>
        </w:rPr>
        <w:t> – учасник освітнього процесу, в тому числі малолітня чи неповнолітня особа, щодо якої було вчинено булінг (цькування);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спостерігачі</w:t>
      </w:r>
      <w:r w:rsidRPr="00637AC2">
        <w:rPr>
          <w:rFonts w:ascii="Times New Roman" w:eastAsia="Times New Roman" w:hAnsi="Times New Roman" w:cs="Times New Roman"/>
          <w:color w:val="000000"/>
          <w:sz w:val="24"/>
          <w:szCs w:val="24"/>
          <w:lang w:eastAsia="ru-RU"/>
        </w:rPr>
        <w:t> – свідки та (або) безпосередні очевидці випадку булінгу (цькування);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сторони булінгу (цькування)</w:t>
      </w:r>
      <w:r w:rsidRPr="00637AC2">
        <w:rPr>
          <w:rFonts w:ascii="Times New Roman" w:eastAsia="Times New Roman" w:hAnsi="Times New Roman" w:cs="Times New Roman"/>
          <w:color w:val="000000"/>
          <w:sz w:val="24"/>
          <w:szCs w:val="24"/>
          <w:lang w:eastAsia="ru-RU"/>
        </w:rPr>
        <w:t> – безпосередні учасники випадку: кривдник (булер), потерпілий (жертва булінгу), спостерігачі (за наявності).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Інші терміни вживаються у значеннях, наведених у </w:t>
      </w:r>
      <w:hyperlink r:id="rId5" w:tgtFrame="_blank" w:history="1">
        <w:r w:rsidRPr="00637AC2">
          <w:rPr>
            <w:rFonts w:ascii="Times New Roman" w:eastAsia="Times New Roman" w:hAnsi="Times New Roman" w:cs="Times New Roman"/>
            <w:color w:val="993366"/>
            <w:sz w:val="24"/>
            <w:szCs w:val="24"/>
            <w:u w:val="single"/>
            <w:lang w:eastAsia="ru-RU"/>
          </w:rPr>
          <w:t>Законах України “Про освіту”</w:t>
        </w:r>
      </w:hyperlink>
      <w:r w:rsidRPr="00637AC2">
        <w:rPr>
          <w:rFonts w:ascii="Times New Roman" w:eastAsia="Times New Roman" w:hAnsi="Times New Roman" w:cs="Times New Roman"/>
          <w:color w:val="993366"/>
          <w:sz w:val="24"/>
          <w:szCs w:val="24"/>
          <w:lang w:eastAsia="ru-RU"/>
        </w:rPr>
        <w:t>, </w:t>
      </w:r>
      <w:hyperlink r:id="rId6" w:tgtFrame="_blank" w:history="1">
        <w:r w:rsidRPr="00637AC2">
          <w:rPr>
            <w:rFonts w:ascii="Times New Roman" w:eastAsia="Times New Roman" w:hAnsi="Times New Roman" w:cs="Times New Roman"/>
            <w:color w:val="993366"/>
            <w:sz w:val="24"/>
            <w:szCs w:val="24"/>
            <w:u w:val="single"/>
            <w:lang w:eastAsia="ru-RU"/>
          </w:rPr>
          <w:t>“Про соціальні послуги”</w:t>
        </w:r>
      </w:hyperlink>
      <w:r w:rsidRPr="00637AC2">
        <w:rPr>
          <w:rFonts w:ascii="Times New Roman" w:eastAsia="Times New Roman" w:hAnsi="Times New Roman" w:cs="Times New Roman"/>
          <w:color w:val="993366"/>
          <w:sz w:val="24"/>
          <w:szCs w:val="24"/>
          <w:lang w:eastAsia="ru-RU"/>
        </w:rPr>
        <w:t>, </w:t>
      </w:r>
      <w:hyperlink r:id="rId7" w:tgtFrame="_blank" w:history="1">
        <w:r w:rsidRPr="00637AC2">
          <w:rPr>
            <w:rFonts w:ascii="Times New Roman" w:eastAsia="Times New Roman" w:hAnsi="Times New Roman" w:cs="Times New Roman"/>
            <w:color w:val="993366"/>
            <w:sz w:val="24"/>
            <w:szCs w:val="24"/>
            <w:u w:val="single"/>
            <w:lang w:eastAsia="ru-RU"/>
          </w:rPr>
          <w:t>“Про соціальну роботу з сім’ями, дітьми та молоддю”</w:t>
        </w:r>
      </w:hyperlink>
      <w:r w:rsidRPr="00637AC2">
        <w:rPr>
          <w:rFonts w:ascii="Times New Roman" w:eastAsia="Times New Roman" w:hAnsi="Times New Roman" w:cs="Times New Roman"/>
          <w:color w:val="993366"/>
          <w:sz w:val="24"/>
          <w:szCs w:val="24"/>
          <w:lang w:eastAsia="ru-RU"/>
        </w:rPr>
        <w:t>, </w:t>
      </w:r>
      <w:hyperlink r:id="rId8" w:tgtFrame="_blank" w:history="1">
        <w:r w:rsidRPr="00637AC2">
          <w:rPr>
            <w:rFonts w:ascii="Times New Roman" w:eastAsia="Times New Roman" w:hAnsi="Times New Roman" w:cs="Times New Roman"/>
            <w:color w:val="993366"/>
            <w:sz w:val="24"/>
            <w:szCs w:val="24"/>
            <w:u w:val="single"/>
            <w:lang w:eastAsia="ru-RU"/>
          </w:rPr>
          <w:t>“Про забезпечення рівних прав та можливостей жінок і чоловіків”</w:t>
        </w:r>
      </w:hyperlink>
      <w:r w:rsidRPr="00637AC2">
        <w:rPr>
          <w:rFonts w:ascii="Times New Roman" w:eastAsia="Times New Roman" w:hAnsi="Times New Roman" w:cs="Times New Roman"/>
          <w:color w:val="993366"/>
          <w:sz w:val="24"/>
          <w:szCs w:val="24"/>
          <w:lang w:eastAsia="ru-RU"/>
        </w:rPr>
        <w:t>, </w:t>
      </w:r>
      <w:hyperlink r:id="rId9" w:tgtFrame="_blank" w:history="1">
        <w:r w:rsidRPr="00637AC2">
          <w:rPr>
            <w:rFonts w:ascii="Times New Roman" w:eastAsia="Times New Roman" w:hAnsi="Times New Roman" w:cs="Times New Roman"/>
            <w:color w:val="993366"/>
            <w:sz w:val="24"/>
            <w:szCs w:val="24"/>
            <w:u w:val="single"/>
            <w:lang w:eastAsia="ru-RU"/>
          </w:rPr>
          <w:t>“Про засади запобігання та протидії дискримінації в Україні”</w:t>
        </w:r>
      </w:hyperlink>
      <w:r w:rsidRPr="00637AC2">
        <w:rPr>
          <w:rFonts w:ascii="Times New Roman" w:eastAsia="Times New Roman" w:hAnsi="Times New Roman" w:cs="Times New Roman"/>
          <w:color w:val="993366"/>
          <w:sz w:val="24"/>
          <w:szCs w:val="24"/>
          <w:lang w:eastAsia="ru-RU"/>
        </w:rPr>
        <w:t>.</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3. Проявами, які можуть бути підставами для підозри в наявності випадку булінгу (цькування) учасника освітнього процесу в закладі освіти, є:</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замкнутість, тривожність, страх або, навпаки, демонстрація повної відсутності страху, ризикована, зухвала поведінка;</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неврівноважена поведінка;</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агресивність, напади люті, схильність до руйнації, нищення, насильства;</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різка зміна звичної для дитини поведінки;</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уповільнене мислення, знижена здатність до навчання;</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відлюдкуватість, уникнення спілкування;</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ізоляція, виключення з групи, небажання інших учасників освітнього процесу спілкуватися;</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занижена самооцінка, наявність почуття провини;</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поява швидкої втомлюваності, зниженої спроможності до концентрації уваги;</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демонстрація страху перед появою інших учасників освітнього процесу;</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 xml:space="preserve">схильність </w:t>
      </w:r>
      <w:proofErr w:type="gramStart"/>
      <w:r w:rsidRPr="00637AC2">
        <w:rPr>
          <w:rFonts w:ascii="Times New Roman" w:eastAsia="Times New Roman" w:hAnsi="Times New Roman" w:cs="Times New Roman"/>
          <w:color w:val="000000"/>
          <w:sz w:val="24"/>
          <w:szCs w:val="24"/>
          <w:lang w:eastAsia="ru-RU"/>
        </w:rPr>
        <w:t>до пропуску</w:t>
      </w:r>
      <w:proofErr w:type="gramEnd"/>
      <w:r w:rsidRPr="00637AC2">
        <w:rPr>
          <w:rFonts w:ascii="Times New Roman" w:eastAsia="Times New Roman" w:hAnsi="Times New Roman" w:cs="Times New Roman"/>
          <w:color w:val="000000"/>
          <w:sz w:val="24"/>
          <w:szCs w:val="24"/>
          <w:lang w:eastAsia="ru-RU"/>
        </w:rPr>
        <w:t xml:space="preserve"> навчальних занять;</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відмова відвідувати заклад освіти з посиланням на погане самопочуття;</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депресивні стани;</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аутоагресія (самоушкодження);</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суїцидальні прояви;</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явні фізичні ушкодження та (або) ознаки поганого самопочуття (нудота, головний біль, кволість тощо);</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намагання приховати травми та обставини їх отримання;</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наявність фото-, відео- та аудіоматеріалів фізичних або психологічних знущань, сексуального (інтимного) змісту;</w:t>
      </w:r>
    </w:p>
    <w:p w:rsidR="00637AC2" w:rsidRPr="00637AC2" w:rsidRDefault="00637AC2" w:rsidP="00637AC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наявні пошкодження або зникнення майна та (або) особистих речей.</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4. До булінгу (цькування) в закладах освіти належать</w:t>
      </w:r>
      <w:r w:rsidRPr="00637AC2">
        <w:rPr>
          <w:rFonts w:ascii="Times New Roman" w:eastAsia="Times New Roman" w:hAnsi="Times New Roman" w:cs="Times New Roman"/>
          <w:color w:val="000000"/>
          <w:sz w:val="24"/>
          <w:szCs w:val="24"/>
          <w:lang w:eastAsia="ru-RU"/>
        </w:rPr>
        <w:t xml:space="preserve"> випадки, які відбуваються безпосередньо в приміщенні закладу освіти та на прилеглих територіях (включно з навчальними приміщеннями, </w:t>
      </w:r>
      <w:r w:rsidRPr="00637AC2">
        <w:rPr>
          <w:rFonts w:ascii="Times New Roman" w:eastAsia="Times New Roman" w:hAnsi="Times New Roman" w:cs="Times New Roman"/>
          <w:color w:val="000000"/>
          <w:sz w:val="24"/>
          <w:szCs w:val="24"/>
          <w:lang w:eastAsia="ru-RU"/>
        </w:rPr>
        <w:lastRenderedPageBreak/>
        <w:t>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Ознаками булінгу (цькування) є систематичне вчинення учасниками освітнього процесу діянь стосовно малолітньої чи неповнолітньої особи</w:t>
      </w:r>
      <w:r w:rsidRPr="00637AC2">
        <w:rPr>
          <w:rFonts w:ascii="Times New Roman" w:eastAsia="Times New Roman" w:hAnsi="Times New Roman" w:cs="Times New Roman"/>
          <w:color w:val="000000"/>
          <w:sz w:val="24"/>
          <w:szCs w:val="24"/>
          <w:lang w:eastAsia="ru-RU"/>
        </w:rPr>
        <w:t> та (або) такою особою стосовно інших учасників освітнього процесу, в тому числі із застосуванням засобів електронних комунікацій, а саме:</w:t>
      </w:r>
    </w:p>
    <w:p w:rsidR="00637AC2" w:rsidRPr="00637AC2" w:rsidRDefault="00637AC2" w:rsidP="00637AC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637AC2" w:rsidRPr="00637AC2" w:rsidRDefault="00637AC2" w:rsidP="00637AC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637AC2" w:rsidRPr="00637AC2" w:rsidRDefault="00637AC2" w:rsidP="00637AC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637AC2" w:rsidRPr="00637AC2" w:rsidRDefault="00637AC2" w:rsidP="00637AC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будь-яка форма небажаної фізичної поведінки, зокрема ляпаси, стусани, штовхання, щипання, шмагання, кусання, завдання ударів;</w:t>
      </w:r>
    </w:p>
    <w:p w:rsidR="00637AC2" w:rsidRPr="00637AC2" w:rsidRDefault="00637AC2" w:rsidP="00637AC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інші правопорушення насильницького характеру.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5.Суб’єктами реагування у разі настання випадку булінгу (цькування) в закладах освіти (далі – суб’єкти реагування) є:</w:t>
      </w:r>
    </w:p>
    <w:p w:rsidR="00637AC2" w:rsidRPr="00637AC2" w:rsidRDefault="00637AC2" w:rsidP="00637AC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служба освітнього омбудсмена;</w:t>
      </w:r>
    </w:p>
    <w:p w:rsidR="00637AC2" w:rsidRPr="00637AC2" w:rsidRDefault="00637AC2" w:rsidP="00637AC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 xml:space="preserve">служби </w:t>
      </w:r>
      <w:proofErr w:type="gramStart"/>
      <w:r w:rsidRPr="00637AC2">
        <w:rPr>
          <w:rFonts w:ascii="Times New Roman" w:eastAsia="Times New Roman" w:hAnsi="Times New Roman" w:cs="Times New Roman"/>
          <w:color w:val="000000"/>
          <w:sz w:val="24"/>
          <w:szCs w:val="24"/>
          <w:lang w:eastAsia="ru-RU"/>
        </w:rPr>
        <w:t>у справах</w:t>
      </w:r>
      <w:proofErr w:type="gramEnd"/>
      <w:r w:rsidRPr="00637AC2">
        <w:rPr>
          <w:rFonts w:ascii="Times New Roman" w:eastAsia="Times New Roman" w:hAnsi="Times New Roman" w:cs="Times New Roman"/>
          <w:color w:val="000000"/>
          <w:sz w:val="24"/>
          <w:szCs w:val="24"/>
          <w:lang w:eastAsia="ru-RU"/>
        </w:rPr>
        <w:t xml:space="preserve"> дітей;</w:t>
      </w:r>
    </w:p>
    <w:p w:rsidR="00637AC2" w:rsidRPr="00637AC2" w:rsidRDefault="00637AC2" w:rsidP="00637AC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центри соціальних служб для сім’ї, дітей та молоді;</w:t>
      </w:r>
    </w:p>
    <w:p w:rsidR="00637AC2" w:rsidRPr="00637AC2" w:rsidRDefault="00637AC2" w:rsidP="00637AC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органи місцевого самоврядування;</w:t>
      </w:r>
    </w:p>
    <w:p w:rsidR="00637AC2" w:rsidRPr="00637AC2" w:rsidRDefault="00637AC2" w:rsidP="00637AC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керівники та інші працівники закладів освіти;</w:t>
      </w:r>
    </w:p>
    <w:p w:rsidR="00637AC2" w:rsidRPr="00637AC2" w:rsidRDefault="00637AC2" w:rsidP="00637AC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засновник (засновники) закладів освіти або уповноважений ним (ними) орган;</w:t>
      </w:r>
    </w:p>
    <w:p w:rsidR="00637AC2" w:rsidRPr="00637AC2" w:rsidRDefault="00637AC2" w:rsidP="00637AC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територіальні органи (підрозділи) Національної поліції України.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Суб’єкти реагування на випадки булінгу (цькування) в закладах освіти діють в межах повноважень, передбачених законодавством та цим Порядком.</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6.Суб’єкти реагування здійснюють заходи</w:t>
      </w:r>
      <w:r w:rsidRPr="00637AC2">
        <w:rPr>
          <w:rFonts w:ascii="Times New Roman" w:eastAsia="Times New Roman" w:hAnsi="Times New Roman" w:cs="Times New Roman"/>
          <w:color w:val="000000"/>
          <w:sz w:val="24"/>
          <w:szCs w:val="24"/>
          <w:lang w:eastAsia="ru-RU"/>
        </w:rPr>
        <w:t>, спрямовані на запобігання та протидію булінгу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7.Педагогічні (науково-педагогічні) та інші працівники закладу освіти</w:t>
      </w:r>
      <w:r w:rsidRPr="00637AC2">
        <w:rPr>
          <w:rFonts w:ascii="Times New Roman" w:eastAsia="Times New Roman" w:hAnsi="Times New Roman" w:cs="Times New Roman"/>
          <w:color w:val="000000"/>
          <w:sz w:val="24"/>
          <w:szCs w:val="24"/>
          <w:lang w:eastAsia="ru-RU"/>
        </w:rPr>
        <w:t> у разі, якщо вони виявляють булінг (цькування), зобов’язані:</w:t>
      </w:r>
    </w:p>
    <w:p w:rsidR="00637AC2" w:rsidRPr="00637AC2" w:rsidRDefault="00637AC2" w:rsidP="00637AC2">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вжити невідкладних заходів для припинення небезпечного впливу;</w:t>
      </w:r>
    </w:p>
    <w:p w:rsidR="00637AC2" w:rsidRPr="00637AC2" w:rsidRDefault="00637AC2" w:rsidP="00637AC2">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 потреби надати домедичну допомогу та викликати бригаду екстреної (швидкої) медичної допомоги для надання екстреної медичної допомоги;</w:t>
      </w:r>
    </w:p>
    <w:p w:rsidR="00637AC2" w:rsidRPr="00637AC2" w:rsidRDefault="00637AC2" w:rsidP="00637AC2">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звернутись (за потреби) до територіальних органів (підрозділів) Національної поліції України;</w:t>
      </w:r>
    </w:p>
    <w:p w:rsidR="00637AC2" w:rsidRPr="00637AC2" w:rsidRDefault="00637AC2" w:rsidP="00637AC2">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ІІ Подання заяв або повідомлень про випадки булінгу (цькування) в закладі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1.Учасники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У закладі освіти заяви або повідомлення про випадок булінгу (цькування) або підозру щодо його вчинення приймає керівник закладу.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lastRenderedPageBreak/>
        <w:t>Повідомлення можуть бути в усній та (або) письмовій формі, в тому числі із застосуванням засобів електронної комунікації.</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2.Керівник закладу освіти у разі отримання заяви або повідомлення про випадок булінгу (цькування):</w:t>
      </w:r>
    </w:p>
    <w:p w:rsidR="00637AC2" w:rsidRPr="00637AC2" w:rsidRDefault="00637AC2" w:rsidP="00637AC2">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637AC2" w:rsidRPr="00637AC2" w:rsidRDefault="00637AC2" w:rsidP="00637AC2">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 потреби викликає бригаду екстреної (швидкої) медичної допомоги для надання екстреної медичної допомоги;</w:t>
      </w:r>
    </w:p>
    <w:p w:rsidR="00637AC2" w:rsidRPr="00637AC2" w:rsidRDefault="00637AC2" w:rsidP="00637AC2">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 xml:space="preserve">повідомляє службу </w:t>
      </w:r>
      <w:proofErr w:type="gramStart"/>
      <w:r w:rsidRPr="00637AC2">
        <w:rPr>
          <w:rFonts w:ascii="Times New Roman" w:eastAsia="Times New Roman" w:hAnsi="Times New Roman" w:cs="Times New Roman"/>
          <w:color w:val="000000"/>
          <w:sz w:val="24"/>
          <w:szCs w:val="24"/>
          <w:lang w:eastAsia="ru-RU"/>
        </w:rPr>
        <w:t>у справах</w:t>
      </w:r>
      <w:proofErr w:type="gramEnd"/>
      <w:r w:rsidRPr="00637AC2">
        <w:rPr>
          <w:rFonts w:ascii="Times New Roman" w:eastAsia="Times New Roman" w:hAnsi="Times New Roman" w:cs="Times New Roman"/>
          <w:color w:val="000000"/>
          <w:sz w:val="24"/>
          <w:szCs w:val="24"/>
          <w:lang w:eastAsia="ru-RU"/>
        </w:rPr>
        <w:t xml:space="preserve">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637AC2" w:rsidRPr="00637AC2" w:rsidRDefault="00637AC2" w:rsidP="00637AC2">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637AC2" w:rsidRPr="00637AC2" w:rsidRDefault="00637AC2" w:rsidP="00637AC2">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III. Склад комісії, права та обов’язки її членів</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1.Склад комісії затверджує наказом керівник закладу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Комісія виконує свої обов’язки на постійній основі.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2.Склад комісії формується з урахуванням основних завдань комісії.</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Комісія складається з голови, заступника голови, секретаря та не менше ніж п’яти її членів.</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proofErr w:type="gramStart"/>
      <w:r w:rsidRPr="00637AC2">
        <w:rPr>
          <w:rFonts w:ascii="Times New Roman" w:eastAsia="Times New Roman" w:hAnsi="Times New Roman" w:cs="Times New Roman"/>
          <w:color w:val="000000"/>
          <w:sz w:val="24"/>
          <w:szCs w:val="24"/>
          <w:lang w:eastAsia="ru-RU"/>
        </w:rPr>
        <w:t>До складу</w:t>
      </w:r>
      <w:proofErr w:type="gramEnd"/>
      <w:r w:rsidRPr="00637AC2">
        <w:rPr>
          <w:rFonts w:ascii="Times New Roman" w:eastAsia="Times New Roman" w:hAnsi="Times New Roman" w:cs="Times New Roman"/>
          <w:color w:val="000000"/>
          <w:sz w:val="24"/>
          <w:szCs w:val="24"/>
          <w:lang w:eastAsia="ru-RU"/>
        </w:rPr>
        <w:t xml:space="preserve">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3.Головою комісії є керівник закладу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4.Секретар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5.Член комісії має право:</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ознайомлюватися з матеріалами, що стосуються випадку булінгу (цькування), брати участь у їх перевірці;</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подавати пропозиції, висловлювати власну думку з питань, що розглядаються;</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брати участь у прийнятті рішення шляхом голосування;</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висловлювати окрему думку усно або письмово;</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 xml:space="preserve">вносити пропозиції </w:t>
      </w:r>
      <w:proofErr w:type="gramStart"/>
      <w:r w:rsidRPr="00637AC2">
        <w:rPr>
          <w:rFonts w:ascii="Times New Roman" w:eastAsia="Times New Roman" w:hAnsi="Times New Roman" w:cs="Times New Roman"/>
          <w:color w:val="000000"/>
          <w:sz w:val="24"/>
          <w:szCs w:val="24"/>
          <w:lang w:eastAsia="ru-RU"/>
        </w:rPr>
        <w:t>до порядку</w:t>
      </w:r>
      <w:proofErr w:type="gramEnd"/>
      <w:r w:rsidRPr="00637AC2">
        <w:rPr>
          <w:rFonts w:ascii="Times New Roman" w:eastAsia="Times New Roman" w:hAnsi="Times New Roman" w:cs="Times New Roman"/>
          <w:color w:val="000000"/>
          <w:sz w:val="24"/>
          <w:szCs w:val="24"/>
          <w:lang w:eastAsia="ru-RU"/>
        </w:rPr>
        <w:t xml:space="preserve"> денного засідання комісії.</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6.Член комісії зобов’язаний:</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особисто брати участь у роботі комісії;</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виконувати в межах, передбачених законодавством та посадовими обов’язками, доручення голови комісії;</w:t>
      </w:r>
    </w:p>
    <w:p w:rsidR="00637AC2" w:rsidRPr="00637AC2" w:rsidRDefault="00637AC2" w:rsidP="00637AC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lastRenderedPageBreak/>
        <w:t>брати участь у голосуванні.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IV Порядок роботи комісії</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1.Метою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2.Діяльність комісії здійснюється на принципах:</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законності;</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верховенства права;</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поваги та дотримання прав і свобод людини;</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неупередженого ставлення до сторін булінгу (цькування);</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відкритості та прозорості;</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конфіденційності та захисту персональних даних;</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невідкладного реагування;</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комплексного підходу до розгляду випадку булінгу (цькування);</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нетерпимості до булінгу (цькування) та визнання його суспільної небезпеки.</w:t>
      </w:r>
    </w:p>
    <w:p w:rsidR="00637AC2" w:rsidRPr="00637AC2" w:rsidRDefault="00637AC2" w:rsidP="00637AC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Комісія у своїй діяльності забезпечує дотримання вимог </w:t>
      </w:r>
      <w:hyperlink r:id="rId10" w:tgtFrame="_blank" w:history="1">
        <w:r w:rsidRPr="00637AC2">
          <w:rPr>
            <w:rFonts w:ascii="Times New Roman" w:eastAsia="Times New Roman" w:hAnsi="Times New Roman" w:cs="Times New Roman"/>
            <w:color w:val="993366"/>
            <w:sz w:val="24"/>
            <w:szCs w:val="24"/>
            <w:u w:val="single"/>
            <w:lang w:eastAsia="ru-RU"/>
          </w:rPr>
          <w:t>Законів України “Про інформацію”</w:t>
        </w:r>
      </w:hyperlink>
      <w:r w:rsidRPr="00637AC2">
        <w:rPr>
          <w:rFonts w:ascii="Times New Roman" w:eastAsia="Times New Roman" w:hAnsi="Times New Roman" w:cs="Times New Roman"/>
          <w:color w:val="993366"/>
          <w:sz w:val="24"/>
          <w:szCs w:val="24"/>
          <w:lang w:eastAsia="ru-RU"/>
        </w:rPr>
        <w:t>, </w:t>
      </w:r>
      <w:hyperlink r:id="rId11" w:tgtFrame="_blank" w:history="1">
        <w:r w:rsidRPr="00637AC2">
          <w:rPr>
            <w:rFonts w:ascii="Times New Roman" w:eastAsia="Times New Roman" w:hAnsi="Times New Roman" w:cs="Times New Roman"/>
            <w:color w:val="993366"/>
            <w:sz w:val="24"/>
            <w:szCs w:val="24"/>
            <w:u w:val="single"/>
            <w:lang w:eastAsia="ru-RU"/>
          </w:rPr>
          <w:t>“Про захист персональних даних”</w:t>
        </w:r>
      </w:hyperlink>
      <w:r w:rsidRPr="00637AC2">
        <w:rPr>
          <w:rFonts w:ascii="Times New Roman" w:eastAsia="Times New Roman" w:hAnsi="Times New Roman" w:cs="Times New Roman"/>
          <w:color w:val="993366"/>
          <w:sz w:val="24"/>
          <w:szCs w:val="24"/>
          <w:lang w:eastAsia="ru-RU"/>
        </w:rPr>
        <w:t>.</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3.До завдань комісії належать:</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 xml:space="preserve">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w:t>
      </w:r>
      <w:proofErr w:type="gramStart"/>
      <w:r w:rsidRPr="00637AC2">
        <w:rPr>
          <w:rFonts w:ascii="Times New Roman" w:eastAsia="Times New Roman" w:hAnsi="Times New Roman" w:cs="Times New Roman"/>
          <w:color w:val="000000"/>
          <w:sz w:val="24"/>
          <w:szCs w:val="24"/>
          <w:lang w:eastAsia="ru-RU"/>
        </w:rPr>
        <w:t>у справах</w:t>
      </w:r>
      <w:proofErr w:type="gramEnd"/>
      <w:r w:rsidRPr="00637AC2">
        <w:rPr>
          <w:rFonts w:ascii="Times New Roman" w:eastAsia="Times New Roman" w:hAnsi="Times New Roman" w:cs="Times New Roman"/>
          <w:color w:val="000000"/>
          <w:sz w:val="24"/>
          <w:szCs w:val="24"/>
          <w:lang w:eastAsia="ru-RU"/>
        </w:rPr>
        <w:t xml:space="preserve"> дітей та центру соціальних служб для сім’ї, дітей та молоді;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визначення причин булінгу (цькування) та необхідних заходів для усунення таких причин;</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визначення заходів виховного впливу щодо сторін булінгу (цькування) у групі (класі), де стався випадок булінгу (цькування);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4.Формою роботи комісії є засідання, які проводяться у разі потреби. Дату, час і місце проведення засідання комісії визначає її голова.</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5.Засідання комісії є правоможним у разі участі в ньому не менш як двох третин її складу.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 xml:space="preserve">6.Секретар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w:t>
      </w:r>
      <w:r w:rsidRPr="00637AC2">
        <w:rPr>
          <w:rFonts w:ascii="Times New Roman" w:eastAsia="Times New Roman" w:hAnsi="Times New Roman" w:cs="Times New Roman"/>
          <w:color w:val="000000"/>
          <w:sz w:val="24"/>
          <w:szCs w:val="24"/>
          <w:lang w:eastAsia="ru-RU"/>
        </w:rPr>
        <w:lastRenderedPageBreak/>
        <w:t>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7.Рішення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8.Під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9.Особи,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Особи, залучені до участі в засіданні комісії, під час засідання комісії мають право:</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ознайомлюватися з матеріалами, поданими на розгляд комісії;</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ставити питання по суті розгляду;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подавати пропозиції, висловлювати власну думку з питань, що розглядаються.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10.Голова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11.Строк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color w:val="000000"/>
          <w:sz w:val="24"/>
          <w:szCs w:val="24"/>
          <w:lang w:eastAsia="ru-RU"/>
        </w:rPr>
        <w:t>V.Запобігання та протидія булінгу (цькуванню) в закладі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1.Діяльність щодо запобігання та протидії булінгу (цькуванню) в закладі освіти має бути постійним системним процесом, спрямованим на:</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виявлення булінгу (цькування) та (або) потенційних ризиків його виникнення;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2.Діяльність щодо запобігання та протидії булінгу (цькуванню) в закладі освіти ґрунтується на принципах:</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недискримінації за будь-якими ознаками;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ненасильницької поведінки в міжособистісних стосунках;</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особистісно-орієнтованого підходу до кожної дитини;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розвитку соціального та емоційного інтелекту учасників освітнього процесу;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гендерної рівності;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участі учасників освітнього процесу в прийнятті рішень відповідно до положень законодавства та установчих документів закладу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3.Завданнями діяльності щодо запобігання та протидії булінгу (цькуванню) в закладі освіти є:</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створення безпечного освітнього середовища в закладі освіти, що включає психологічну та фізичну безпеку учасників освітнього процесу;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визначення стану, причин і передумов поширення булінгу (цькування) в закладі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підвищення рівня поінформованості учасників освітнього процесу про булінг (цькування);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заохочення всіх учасників освітнього процесу до активного сприяння запобіганню булінгу (цькуванню).</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4.Діяльність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Планування відповідних заходів здійснюється за результатами моніторингу стану освітнього середовища в закладі освіти.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lastRenderedPageBreak/>
        <w:t>Заплановані заходи повинні: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спрямовуватись на задоволення потреб окремого закладу освіти у створенні безпечного освітнього середовища;</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мати вимірювані показники ефективності;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залучати всіх учасників освітнього процесу.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 xml:space="preserve">План розробляється </w:t>
      </w:r>
      <w:proofErr w:type="gramStart"/>
      <w:r w:rsidRPr="00637AC2">
        <w:rPr>
          <w:rFonts w:ascii="Times New Roman" w:eastAsia="Times New Roman" w:hAnsi="Times New Roman" w:cs="Times New Roman"/>
          <w:color w:val="000000"/>
          <w:sz w:val="24"/>
          <w:szCs w:val="24"/>
          <w:lang w:eastAsia="ru-RU"/>
        </w:rPr>
        <w:t>до початку</w:t>
      </w:r>
      <w:proofErr w:type="gramEnd"/>
      <w:r w:rsidRPr="00637AC2">
        <w:rPr>
          <w:rFonts w:ascii="Times New Roman" w:eastAsia="Times New Roman" w:hAnsi="Times New Roman" w:cs="Times New Roman"/>
          <w:color w:val="000000"/>
          <w:sz w:val="24"/>
          <w:szCs w:val="24"/>
          <w:lang w:eastAsia="ru-RU"/>
        </w:rPr>
        <w:t xml:space="preserve">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b/>
          <w:bCs/>
          <w:i/>
          <w:iCs/>
          <w:color w:val="000000"/>
          <w:sz w:val="24"/>
          <w:szCs w:val="24"/>
          <w:lang w:eastAsia="ru-RU"/>
        </w:rPr>
        <w:t>5.До заходів, спрямованих на запобігання та протидію булінгу (цькуванню) в закладі освіти, належать заходи щодо:</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організації безпечного користування мережею Інтернет під час освітнього процесу;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розвитку соціального та емоційного інтелекту учасників освітнього процесу, зокрема:</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розуміння та сприйняття цінності прав та свобод людини, вміння відстоювати свої права та поважати права інших;</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здатності попереджувати та розв’язувати конфлікти ненасильницьким шляхом;</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відповідального ставлення до своїх громадянських прав і обов’язків, пов’язаних з участю в суспільному житті;</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здатності критично аналізувати інформацію, розглядати питання з різних позицій, приймати обґрунтовані рішення;</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637AC2" w:rsidRPr="00637AC2" w:rsidRDefault="00637AC2" w:rsidP="00637AC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7AC2">
        <w:rPr>
          <w:rFonts w:ascii="Times New Roman" w:eastAsia="Times New Roman" w:hAnsi="Times New Roman" w:cs="Times New Roman"/>
          <w:color w:val="000000"/>
          <w:sz w:val="24"/>
          <w:szCs w:val="24"/>
          <w:lang w:eastAsia="ru-RU"/>
        </w:rPr>
        <w:t>створення в закладі освіти культури, що ґрунтується на нетерпимості до будь-яких форм насильства та дискримінації, в тому числі булінгу (цькування).</w:t>
      </w:r>
    </w:p>
    <w:p w:rsidR="000C3298" w:rsidRPr="00637AC2" w:rsidRDefault="000C3298">
      <w:pPr>
        <w:rPr>
          <w:rFonts w:ascii="Times New Roman" w:hAnsi="Times New Roman" w:cs="Times New Roman"/>
        </w:rPr>
      </w:pPr>
    </w:p>
    <w:sectPr w:rsidR="000C3298" w:rsidRPr="00637AC2" w:rsidSect="00637A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25F"/>
    <w:multiLevelType w:val="multilevel"/>
    <w:tmpl w:val="CDCA40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53865C1"/>
    <w:multiLevelType w:val="multilevel"/>
    <w:tmpl w:val="AEDCC6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C3D6088"/>
    <w:multiLevelType w:val="multilevel"/>
    <w:tmpl w:val="FB8255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28E353E"/>
    <w:multiLevelType w:val="multilevel"/>
    <w:tmpl w:val="B6D819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459069C"/>
    <w:multiLevelType w:val="multilevel"/>
    <w:tmpl w:val="9A16DB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D13C7"/>
    <w:multiLevelType w:val="multilevel"/>
    <w:tmpl w:val="B74683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8F55407"/>
    <w:multiLevelType w:val="multilevel"/>
    <w:tmpl w:val="A656CD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14"/>
    <w:rsid w:val="000C3298"/>
    <w:rsid w:val="00637AC2"/>
    <w:rsid w:val="00B30B14"/>
    <w:rsid w:val="00C61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0EAE"/>
  <w15:chartTrackingRefBased/>
  <w15:docId w15:val="{8E79F43E-777A-4F3A-AEF5-99AF49C1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7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5286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T01255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192671.html" TargetMode="External"/><Relationship Id="rId11" Type="http://schemas.openxmlformats.org/officeDocument/2006/relationships/hyperlink" Target="http://search.ligazakon.ua/l_doc2.nsf/link1/T102297.html" TargetMode="External"/><Relationship Id="rId5" Type="http://schemas.openxmlformats.org/officeDocument/2006/relationships/hyperlink" Target="http://search.ligazakon.ua/l_doc2.nsf/link1/T172145.html" TargetMode="External"/><Relationship Id="rId10" Type="http://schemas.openxmlformats.org/officeDocument/2006/relationships/hyperlink" Target="http://search.ligazakon.ua/l_doc2.nsf/link1/T265700.html" TargetMode="External"/><Relationship Id="rId4" Type="http://schemas.openxmlformats.org/officeDocument/2006/relationships/webSettings" Target="webSettings.xml"/><Relationship Id="rId9" Type="http://schemas.openxmlformats.org/officeDocument/2006/relationships/hyperlink" Target="http://search.ligazakon.ua/l_doc2.nsf/link1/T1252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3225</Words>
  <Characters>18384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2024-05-15T05:56:00Z</cp:lastPrinted>
  <dcterms:created xsi:type="dcterms:W3CDTF">2024-05-15T10:41:00Z</dcterms:created>
  <dcterms:modified xsi:type="dcterms:W3CDTF">2024-05-15T10:41:00Z</dcterms:modified>
</cp:coreProperties>
</file>